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83F46E">
      <w:pPr>
        <w:spacing w:after="100" w:afterAutospacing="1"/>
        <w:jc w:val="center"/>
        <w:outlineLvl w:val="0"/>
        <w:rPr>
          <w:rFonts w:hint="eastAsia" w:ascii="宋体" w:hAnsi="宋体" w:eastAsia="宋体" w:cs="宋体"/>
          <w:sz w:val="32"/>
          <w:szCs w:val="32"/>
          <w:lang w:eastAsia="zh-CN"/>
        </w:rPr>
      </w:pPr>
      <w:r>
        <w:rPr>
          <w:rFonts w:hint="eastAsia" w:ascii="宋体" w:hAnsi="宋体" w:cs="宋体"/>
          <w:sz w:val="32"/>
          <w:szCs w:val="32"/>
          <w:lang w:eastAsia="zh-CN" w:bidi="ar"/>
        </w:rPr>
        <w:t>菏泽市乾威保安有限公司车辆燃用油、润滑油服务采购项目（二次）</w:t>
      </w:r>
    </w:p>
    <w:p w14:paraId="243C00A1">
      <w:pPr>
        <w:jc w:val="center"/>
        <w:rPr>
          <w:rFonts w:hint="eastAsia" w:ascii="宋体" w:hAnsi="宋体" w:cs="宋体"/>
          <w:sz w:val="32"/>
          <w:szCs w:val="32"/>
        </w:rPr>
      </w:pPr>
      <w:r>
        <w:rPr>
          <w:rFonts w:hint="eastAsia" w:ascii="宋体" w:hAnsi="宋体" w:cs="宋体"/>
          <w:sz w:val="32"/>
          <w:szCs w:val="32"/>
          <w:lang w:bidi="ar"/>
        </w:rPr>
        <w:t>资格预审公告</w:t>
      </w:r>
    </w:p>
    <w:p w14:paraId="0B8C31BE">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受菏泽市乾威保安有限公司的委托，现就菏泽市乾威保安有限公司车辆燃用油、润滑油服务采购项目（二次）进行资格预审，现将资格预审有关事宜公告如下，欢迎符合条件的资格预审申请人参与资格预审。</w:t>
      </w:r>
    </w:p>
    <w:p w14:paraId="5B1B475D">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kern w:val="0"/>
          <w:sz w:val="24"/>
          <w:szCs w:val="24"/>
          <w:highlight w:val="none"/>
          <w:lang w:val="zh-CN"/>
        </w:rPr>
      </w:pPr>
      <w:r>
        <w:rPr>
          <w:rFonts w:hint="eastAsia" w:ascii="宋体" w:hAnsi="宋体" w:eastAsia="宋体" w:cs="宋体"/>
          <w:b/>
          <w:bCs/>
          <w:color w:val="auto"/>
          <w:kern w:val="0"/>
          <w:sz w:val="24"/>
          <w:szCs w:val="24"/>
          <w:highlight w:val="none"/>
          <w:lang w:val="en-US" w:eastAsia="zh-CN"/>
        </w:rPr>
        <w:t>一</w:t>
      </w:r>
      <w:r>
        <w:rPr>
          <w:rFonts w:hint="eastAsia" w:ascii="宋体" w:hAnsi="宋体" w:eastAsia="宋体" w:cs="宋体"/>
          <w:b/>
          <w:bCs/>
          <w:color w:val="auto"/>
          <w:kern w:val="0"/>
          <w:sz w:val="24"/>
          <w:szCs w:val="24"/>
          <w:highlight w:val="none"/>
        </w:rPr>
        <w:t>、项目概况与招标范围</w:t>
      </w:r>
    </w:p>
    <w:p w14:paraId="4B5D6C30">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b/>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1.1</w:t>
      </w:r>
      <w:r>
        <w:rPr>
          <w:rFonts w:hint="eastAsia" w:ascii="宋体" w:hAnsi="宋体" w:eastAsia="宋体" w:cs="宋体"/>
          <w:color w:val="auto"/>
          <w:kern w:val="0"/>
          <w:sz w:val="24"/>
          <w:szCs w:val="24"/>
          <w:highlight w:val="none"/>
          <w:lang w:val="zh-CN"/>
        </w:rPr>
        <w:t>招标项目编号：</w:t>
      </w:r>
      <w:r>
        <w:rPr>
          <w:rFonts w:hint="eastAsia" w:ascii="宋体" w:hAnsi="宋体" w:eastAsia="宋体" w:cs="宋体"/>
          <w:color w:val="auto"/>
          <w:kern w:val="0"/>
          <w:sz w:val="24"/>
          <w:szCs w:val="24"/>
          <w:highlight w:val="none"/>
          <w:lang w:val="zh-CN" w:eastAsia="zh-CN"/>
        </w:rPr>
        <w:t>HTQCGL2026-QWBA001。</w:t>
      </w:r>
    </w:p>
    <w:p w14:paraId="59CB9173">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1.2</w:t>
      </w:r>
      <w:r>
        <w:rPr>
          <w:rFonts w:hint="eastAsia" w:ascii="宋体" w:hAnsi="宋体" w:eastAsia="宋体" w:cs="宋体"/>
          <w:color w:val="auto"/>
          <w:kern w:val="0"/>
          <w:sz w:val="24"/>
          <w:szCs w:val="24"/>
          <w:highlight w:val="none"/>
          <w:lang w:val="zh-CN"/>
        </w:rPr>
        <w:t>项目名称：</w:t>
      </w:r>
      <w:r>
        <w:rPr>
          <w:rFonts w:hint="eastAsia" w:ascii="宋体" w:hAnsi="宋体" w:eastAsia="宋体" w:cs="宋体"/>
          <w:color w:val="auto"/>
          <w:kern w:val="0"/>
          <w:sz w:val="24"/>
          <w:szCs w:val="24"/>
          <w:highlight w:val="none"/>
          <w:lang w:val="zh-CN" w:eastAsia="zh-CN"/>
        </w:rPr>
        <w:t>菏泽市乾威保安有限公司（2026年度）车辆燃用油、润滑油服务采购项目（</w:t>
      </w:r>
      <w:r>
        <w:rPr>
          <w:rFonts w:hint="eastAsia" w:ascii="宋体" w:hAnsi="宋体" w:eastAsia="宋体" w:cs="宋体"/>
          <w:color w:val="auto"/>
          <w:kern w:val="0"/>
          <w:sz w:val="24"/>
          <w:szCs w:val="24"/>
          <w:highlight w:val="none"/>
          <w:lang w:val="en-US" w:eastAsia="zh-CN"/>
        </w:rPr>
        <w:t>二次</w:t>
      </w:r>
      <w:r>
        <w:rPr>
          <w:rFonts w:hint="eastAsia" w:ascii="宋体" w:hAnsi="宋体" w:eastAsia="宋体" w:cs="宋体"/>
          <w:color w:val="auto"/>
          <w:kern w:val="0"/>
          <w:sz w:val="24"/>
          <w:szCs w:val="24"/>
          <w:highlight w:val="none"/>
          <w:lang w:val="zh-CN" w:eastAsia="zh-CN"/>
        </w:rPr>
        <w:t>）。</w:t>
      </w:r>
    </w:p>
    <w:p w14:paraId="429286A0">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1.3服务期限：1年。</w:t>
      </w:r>
    </w:p>
    <w:p w14:paraId="2DF92924">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1.4招标内容</w:t>
      </w:r>
      <w:r>
        <w:rPr>
          <w:rFonts w:hint="eastAsia" w:ascii="宋体" w:hAnsi="宋体" w:eastAsia="宋体" w:cs="宋体"/>
          <w:color w:val="auto"/>
          <w:kern w:val="0"/>
          <w:sz w:val="24"/>
          <w:szCs w:val="24"/>
          <w:highlight w:val="none"/>
          <w:lang w:val="zh-CN"/>
        </w:rPr>
        <w:t>：95#车用汽油（VIB）、0#车用柴油（VI)、-10#车用柴油（VI)、柴机油（API CK-4 15W-40）、汽机油（SJ 10W-40），具体</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lang w:val="zh-CN"/>
        </w:rPr>
        <w:t>内容详见</w:t>
      </w:r>
      <w:r>
        <w:rPr>
          <w:rFonts w:hint="eastAsia" w:ascii="宋体" w:hAnsi="宋体" w:eastAsia="宋体" w:cs="宋体"/>
          <w:color w:val="auto"/>
          <w:kern w:val="0"/>
          <w:sz w:val="24"/>
          <w:szCs w:val="24"/>
          <w:highlight w:val="none"/>
          <w:lang w:val="en-US" w:eastAsia="zh-CN"/>
        </w:rPr>
        <w:t>资格预审文件</w:t>
      </w:r>
      <w:r>
        <w:rPr>
          <w:rFonts w:hint="eastAsia" w:ascii="宋体" w:hAnsi="宋体" w:eastAsia="宋体" w:cs="宋体"/>
          <w:color w:val="auto"/>
          <w:kern w:val="0"/>
          <w:sz w:val="24"/>
          <w:szCs w:val="24"/>
          <w:highlight w:val="none"/>
          <w:lang w:val="zh-CN"/>
        </w:rPr>
        <w:t>。</w:t>
      </w:r>
    </w:p>
    <w:p w14:paraId="346F56AF">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1.5</w:t>
      </w:r>
      <w:r>
        <w:rPr>
          <w:rFonts w:hint="eastAsia" w:ascii="宋体" w:hAnsi="宋体" w:eastAsia="宋体" w:cs="宋体"/>
          <w:color w:val="auto"/>
          <w:kern w:val="0"/>
          <w:sz w:val="24"/>
          <w:szCs w:val="24"/>
          <w:highlight w:val="none"/>
        </w:rPr>
        <w:t>标段划分：本项目共</w:t>
      </w:r>
      <w:r>
        <w:rPr>
          <w:rFonts w:hint="eastAsia" w:ascii="宋体" w:hAnsi="宋体" w:eastAsia="宋体" w:cs="宋体"/>
          <w:color w:val="auto"/>
          <w:kern w:val="0"/>
          <w:sz w:val="24"/>
          <w:szCs w:val="24"/>
          <w:highlight w:val="none"/>
          <w:lang w:val="en-US" w:eastAsia="zh-CN"/>
        </w:rPr>
        <w:t>划分3</w:t>
      </w:r>
      <w:r>
        <w:rPr>
          <w:rFonts w:hint="eastAsia" w:ascii="宋体" w:hAnsi="宋体" w:eastAsia="宋体" w:cs="宋体"/>
          <w:color w:val="auto"/>
          <w:kern w:val="0"/>
          <w:sz w:val="24"/>
          <w:szCs w:val="24"/>
          <w:highlight w:val="none"/>
        </w:rPr>
        <w:t>个标段</w:t>
      </w:r>
      <w:r>
        <w:rPr>
          <w:rFonts w:hint="eastAsia" w:ascii="宋体" w:hAnsi="宋体" w:eastAsia="宋体" w:cs="宋体"/>
          <w:color w:val="auto"/>
          <w:kern w:val="0"/>
          <w:sz w:val="24"/>
          <w:szCs w:val="24"/>
          <w:highlight w:val="none"/>
          <w:lang w:eastAsia="zh-CN"/>
        </w:rPr>
        <w:t>：</w:t>
      </w:r>
    </w:p>
    <w:p w14:paraId="4B165538">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lang w:val="zh-CN"/>
        </w:rPr>
        <w:t>标段</w:t>
      </w:r>
      <w:r>
        <w:rPr>
          <w:rFonts w:hint="eastAsia" w:ascii="宋体" w:hAnsi="宋体" w:eastAsia="宋体" w:cs="宋体"/>
          <w:color w:val="auto"/>
          <w:kern w:val="0"/>
          <w:sz w:val="24"/>
          <w:szCs w:val="24"/>
          <w:highlight w:val="none"/>
          <w:lang w:val="en-US" w:eastAsia="zh-CN"/>
        </w:rPr>
        <w:t>为95#车用汽油（VIB）约10万升</w:t>
      </w:r>
      <w:r>
        <w:rPr>
          <w:rFonts w:hint="eastAsia" w:ascii="宋体" w:hAnsi="宋体" w:eastAsia="宋体" w:cs="宋体"/>
          <w:color w:val="auto"/>
          <w:kern w:val="0"/>
          <w:sz w:val="24"/>
          <w:szCs w:val="24"/>
          <w:highlight w:val="none"/>
          <w:lang w:val="zh-CN"/>
        </w:rPr>
        <w:t>；</w:t>
      </w:r>
    </w:p>
    <w:p w14:paraId="1CF698A4">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lang w:val="zh-CN"/>
        </w:rPr>
        <w:t>标段</w:t>
      </w:r>
      <w:r>
        <w:rPr>
          <w:rFonts w:hint="eastAsia" w:ascii="宋体" w:hAnsi="宋体" w:eastAsia="宋体" w:cs="宋体"/>
          <w:color w:val="auto"/>
          <w:kern w:val="0"/>
          <w:sz w:val="24"/>
          <w:szCs w:val="24"/>
          <w:highlight w:val="none"/>
          <w:lang w:val="en-US" w:eastAsia="zh-CN"/>
        </w:rPr>
        <w:t>为0#车用柴油（VI)约35万升，-10#车用柴油（VI)约10万升</w:t>
      </w:r>
      <w:r>
        <w:rPr>
          <w:rFonts w:hint="eastAsia" w:ascii="宋体" w:hAnsi="宋体" w:eastAsia="宋体" w:cs="宋体"/>
          <w:color w:val="auto"/>
          <w:kern w:val="0"/>
          <w:sz w:val="24"/>
          <w:szCs w:val="24"/>
          <w:highlight w:val="none"/>
          <w:lang w:val="zh-CN"/>
        </w:rPr>
        <w:t>；</w:t>
      </w:r>
    </w:p>
    <w:p w14:paraId="19C4FB88">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lang w:val="zh-CN"/>
        </w:rPr>
        <w:t>标段</w:t>
      </w:r>
      <w:r>
        <w:rPr>
          <w:rFonts w:hint="eastAsia" w:ascii="宋体" w:hAnsi="宋体" w:eastAsia="宋体" w:cs="宋体"/>
          <w:color w:val="auto"/>
          <w:kern w:val="0"/>
          <w:sz w:val="24"/>
          <w:szCs w:val="24"/>
          <w:highlight w:val="none"/>
          <w:lang w:val="en-US" w:eastAsia="zh-CN"/>
        </w:rPr>
        <w:t>为柴机油（API CK-4 15W-40，4升/桶）约1000桶、汽机油（SJ 10W-40，4升/桶）约100桶</w:t>
      </w:r>
      <w:r>
        <w:rPr>
          <w:rFonts w:hint="eastAsia" w:ascii="宋体" w:hAnsi="宋体" w:eastAsia="宋体" w:cs="宋体"/>
          <w:color w:val="auto"/>
          <w:kern w:val="0"/>
          <w:sz w:val="24"/>
          <w:szCs w:val="24"/>
          <w:highlight w:val="none"/>
          <w:lang w:eastAsia="zh-CN"/>
        </w:rPr>
        <w:t>。</w:t>
      </w:r>
    </w:p>
    <w:p w14:paraId="0E9E7997">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注：</w:t>
      </w:r>
      <w:r>
        <w:rPr>
          <w:rFonts w:hint="eastAsia" w:ascii="宋体" w:hAnsi="宋体" w:eastAsia="宋体" w:cs="宋体"/>
          <w:color w:val="auto"/>
          <w:kern w:val="0"/>
          <w:sz w:val="24"/>
          <w:szCs w:val="24"/>
          <w:highlight w:val="none"/>
          <w:lang w:eastAsia="zh-CN"/>
        </w:rPr>
        <w:t>本项目可兼投兼中</w:t>
      </w:r>
      <w:r>
        <w:rPr>
          <w:rFonts w:hint="eastAsia" w:ascii="宋体" w:hAnsi="宋体" w:eastAsia="宋体" w:cs="宋体"/>
          <w:color w:val="auto"/>
          <w:kern w:val="0"/>
          <w:sz w:val="24"/>
          <w:szCs w:val="24"/>
          <w:highlight w:val="none"/>
          <w:lang w:val="en-US" w:eastAsia="zh-CN"/>
        </w:rPr>
        <w:t>。</w:t>
      </w:r>
    </w:p>
    <w:p w14:paraId="451EBD33">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1.6</w:t>
      </w:r>
      <w:r>
        <w:rPr>
          <w:rFonts w:hint="eastAsia" w:ascii="宋体" w:hAnsi="宋体" w:eastAsia="宋体" w:cs="宋体"/>
          <w:color w:val="auto"/>
          <w:kern w:val="0"/>
          <w:sz w:val="24"/>
          <w:szCs w:val="24"/>
          <w:highlight w:val="none"/>
        </w:rPr>
        <w:t>质量要求：</w:t>
      </w:r>
      <w:r>
        <w:rPr>
          <w:rFonts w:hint="eastAsia" w:ascii="宋体" w:hAnsi="宋体" w:eastAsia="宋体" w:cs="宋体"/>
          <w:bCs/>
          <w:color w:val="auto"/>
          <w:kern w:val="0"/>
          <w:sz w:val="24"/>
          <w:highlight w:val="none"/>
          <w:lang w:val="en-US" w:eastAsia="zh-CN"/>
        </w:rPr>
        <w:t>符合国家技术规范、质量标准和招标人要求。</w:t>
      </w:r>
    </w:p>
    <w:p w14:paraId="5887308B">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val="en-US" w:eastAsia="zh-CN"/>
        </w:rPr>
        <w:t>二</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申请人资格要求</w:t>
      </w:r>
    </w:p>
    <w:p w14:paraId="1E8CC852">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2.1申请人须在中华人民共和国境内注册的法人或其他组织，具有有效的营业执照和相应的经营许可证，具备本次招标内容的供货及服务能力。</w:t>
      </w:r>
    </w:p>
    <w:p w14:paraId="1D462E11">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注：取得营业执照的分支机构可以分公司名义参与投标，同一上级公司的两个分支机构不得同时参加投标，资格预审文件中涉及的“法定代表人”对应为“分支机构负责人”。</w:t>
      </w:r>
    </w:p>
    <w:p w14:paraId="743DB302">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b/>
          <w:bCs/>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2.2申请人</w:t>
      </w:r>
      <w:r>
        <w:rPr>
          <w:rFonts w:hint="eastAsia" w:ascii="宋体" w:hAnsi="宋体" w:cs="宋体"/>
          <w:color w:val="000000"/>
          <w:kern w:val="0"/>
          <w:sz w:val="24"/>
          <w:lang w:bidi="ar"/>
        </w:rPr>
        <w:t>资质</w:t>
      </w:r>
      <w:r>
        <w:rPr>
          <w:rFonts w:hint="eastAsia" w:ascii="宋体" w:hAnsi="宋体" w:cs="宋体"/>
          <w:color w:val="000000"/>
          <w:kern w:val="0"/>
          <w:sz w:val="24"/>
          <w:lang w:val="en-US" w:eastAsia="zh-CN" w:bidi="ar"/>
        </w:rPr>
        <w:t>要求</w:t>
      </w:r>
      <w:r>
        <w:rPr>
          <w:rFonts w:hint="eastAsia" w:ascii="宋体" w:hAnsi="宋体" w:cs="宋体"/>
          <w:color w:val="000000"/>
          <w:kern w:val="0"/>
          <w:sz w:val="24"/>
          <w:lang w:bidi="ar"/>
        </w:rPr>
        <w:t>：</w:t>
      </w:r>
    </w:p>
    <w:p w14:paraId="47DAD5E3">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default" w:ascii="宋体" w:hAnsi="宋体" w:eastAsia="宋体" w:cs="宋体"/>
          <w:color w:val="000000"/>
          <w:sz w:val="24"/>
          <w:lang w:val="en-US" w:eastAsia="zh-CN" w:bidi="ar"/>
        </w:rPr>
      </w:pPr>
      <w:r>
        <w:rPr>
          <w:rFonts w:hint="eastAsia" w:ascii="宋体" w:hAnsi="宋体" w:eastAsia="宋体" w:cs="宋体"/>
          <w:color w:val="auto"/>
          <w:kern w:val="0"/>
          <w:sz w:val="24"/>
          <w:highlight w:val="none"/>
          <w:shd w:val="clear" w:color="auto" w:fill="FFFFFF"/>
          <w:lang w:val="en-US" w:eastAsia="zh-CN"/>
        </w:rPr>
        <w:t>1、2</w:t>
      </w:r>
      <w:r>
        <w:rPr>
          <w:rFonts w:hint="eastAsia" w:ascii="宋体" w:hAnsi="宋体" w:eastAsia="宋体" w:cs="宋体"/>
          <w:color w:val="000000"/>
          <w:kern w:val="0"/>
          <w:sz w:val="24"/>
          <w:lang w:val="en-US" w:eastAsia="zh-CN" w:bidi="ar"/>
        </w:rPr>
        <w:t>标段申请人</w:t>
      </w:r>
      <w:r>
        <w:rPr>
          <w:rFonts w:ascii="宋体" w:hAnsi="宋体" w:cs="宋体"/>
          <w:color w:val="000000"/>
          <w:sz w:val="24"/>
          <w:lang w:bidi="ar"/>
        </w:rPr>
        <w:t>须</w:t>
      </w:r>
      <w:r>
        <w:rPr>
          <w:rFonts w:hint="eastAsia" w:ascii="宋体" w:hAnsi="宋体" w:cs="宋体"/>
          <w:color w:val="000000"/>
          <w:sz w:val="24"/>
          <w:lang w:val="en-US" w:eastAsia="zh-CN" w:bidi="ar"/>
        </w:rPr>
        <w:t>同时</w:t>
      </w:r>
      <w:r>
        <w:rPr>
          <w:rFonts w:ascii="宋体" w:hAnsi="宋体" w:cs="宋体"/>
          <w:color w:val="000000"/>
          <w:sz w:val="24"/>
          <w:lang w:bidi="ar"/>
        </w:rPr>
        <w:t>具备</w:t>
      </w:r>
      <w:r>
        <w:rPr>
          <w:rFonts w:hint="eastAsia" w:ascii="宋体" w:hAnsi="宋体" w:cs="宋体"/>
          <w:color w:val="000000"/>
          <w:sz w:val="24"/>
          <w:lang w:val="en-US" w:eastAsia="zh-CN" w:bidi="ar"/>
        </w:rPr>
        <w:t xml:space="preserve">以下资质：  </w:t>
      </w:r>
    </w:p>
    <w:p w14:paraId="642E22EF">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eastAsia="宋体"/>
          <w:lang w:eastAsia="zh-CN"/>
        </w:rPr>
      </w:pPr>
      <w:r>
        <w:rPr>
          <w:rFonts w:hint="eastAsia" w:ascii="宋体" w:hAnsi="宋体" w:cs="宋体"/>
          <w:color w:val="000000"/>
          <w:sz w:val="24"/>
          <w:lang w:eastAsia="zh-CN" w:bidi="ar"/>
        </w:rPr>
        <w:t>① 有效期内的《危险化学品经营许可证》，并</w:t>
      </w:r>
      <w:r>
        <w:rPr>
          <w:rFonts w:hint="eastAsia" w:ascii="宋体" w:hAnsi="宋体" w:cs="宋体"/>
          <w:color w:val="auto"/>
          <w:sz w:val="24"/>
          <w:lang w:val="en-US" w:eastAsia="zh-CN" w:bidi="ar"/>
        </w:rPr>
        <w:t>具备相应的供货能力</w:t>
      </w:r>
      <w:r>
        <w:rPr>
          <w:rFonts w:hint="eastAsia" w:ascii="宋体" w:hAnsi="宋体" w:cs="宋体"/>
          <w:color w:val="000000"/>
          <w:sz w:val="24"/>
          <w:lang w:val="en-US" w:eastAsia="zh-CN" w:bidi="ar"/>
        </w:rPr>
        <w:t xml:space="preserve">；  </w:t>
      </w:r>
    </w:p>
    <w:p w14:paraId="3CA35DEC">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sz w:val="24"/>
          <w:lang w:eastAsia="zh-CN" w:bidi="ar"/>
        </w:rPr>
      </w:pPr>
      <w:r>
        <w:rPr>
          <w:rFonts w:hint="eastAsia" w:ascii="宋体" w:hAnsi="宋体" w:cs="宋体"/>
          <w:color w:val="000000"/>
          <w:sz w:val="24"/>
          <w:lang w:bidi="ar"/>
        </w:rPr>
        <w:t>②</w:t>
      </w:r>
      <w:r>
        <w:rPr>
          <w:rFonts w:hint="eastAsia" w:ascii="宋体" w:hAnsi="宋体" w:cs="宋体"/>
          <w:color w:val="000000"/>
          <w:sz w:val="24"/>
          <w:lang w:eastAsia="zh-CN" w:bidi="ar"/>
        </w:rPr>
        <w:t xml:space="preserve"> </w:t>
      </w:r>
      <w:r>
        <w:rPr>
          <w:rFonts w:hint="eastAsia" w:ascii="宋体" w:hAnsi="宋体" w:cs="宋体"/>
          <w:color w:val="000000"/>
          <w:sz w:val="24"/>
          <w:lang w:bidi="ar"/>
        </w:rPr>
        <w:t>有效期内的《成品油零售经营批准证书》</w:t>
      </w:r>
      <w:r>
        <w:rPr>
          <w:rFonts w:hint="eastAsia" w:ascii="宋体" w:hAnsi="宋体" w:cs="宋体"/>
          <w:color w:val="000000"/>
          <w:sz w:val="24"/>
          <w:lang w:val="en-US" w:eastAsia="zh-CN" w:bidi="ar"/>
        </w:rPr>
        <w:t>或《成品油批发仓储企业备案回执单》</w:t>
      </w:r>
      <w:r>
        <w:rPr>
          <w:rFonts w:hint="eastAsia" w:ascii="宋体" w:hAnsi="宋体" w:cs="宋体"/>
          <w:color w:val="auto"/>
          <w:sz w:val="24"/>
          <w:lang w:val="en-US" w:eastAsia="zh-CN" w:bidi="ar"/>
        </w:rPr>
        <w:t>，并具备相应的供货能力</w:t>
      </w:r>
      <w:r>
        <w:rPr>
          <w:rFonts w:hint="eastAsia" w:ascii="宋体" w:hAnsi="宋体" w:cs="宋体"/>
          <w:color w:val="auto"/>
          <w:sz w:val="24"/>
          <w:lang w:eastAsia="zh-CN" w:bidi="ar"/>
        </w:rPr>
        <w:t>。</w:t>
      </w:r>
    </w:p>
    <w:p w14:paraId="44F59DF8">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2.3参加采购活动前 3 年内在经营活动中无重大违法记录的书面声明。</w:t>
      </w:r>
    </w:p>
    <w:p w14:paraId="7D9A07EA">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2.4申请人目前在全国各地均未处于禁止或限制投标期间，潜在申请人单位负责人为同一人或者存在控股、管理关系的不同单位，不得参加同一标段投标或者未划分标段的同一招标项目投标。</w:t>
      </w:r>
    </w:p>
    <w:p w14:paraId="7DC7384C">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2.5</w:t>
      </w:r>
      <w:r>
        <w:rPr>
          <w:rFonts w:hint="eastAsia" w:ascii="宋体" w:hAnsi="宋体"/>
          <w:sz w:val="24"/>
          <w:szCs w:val="20"/>
        </w:rPr>
        <w:t>潜在</w:t>
      </w:r>
      <w:r>
        <w:rPr>
          <w:rFonts w:hint="eastAsia" w:ascii="宋体" w:hAnsi="宋体" w:eastAsia="宋体" w:cs="宋体"/>
          <w:color w:val="auto"/>
          <w:kern w:val="0"/>
          <w:sz w:val="24"/>
          <w:highlight w:val="none"/>
          <w:shd w:val="clear" w:color="auto" w:fill="FFFFFF"/>
          <w:lang w:val="en-US" w:eastAsia="zh-CN"/>
        </w:rPr>
        <w:t>申请人</w:t>
      </w:r>
      <w:r>
        <w:rPr>
          <w:rFonts w:hint="eastAsia" w:ascii="宋体" w:hAnsi="宋体"/>
          <w:sz w:val="24"/>
          <w:szCs w:val="20"/>
        </w:rPr>
        <w:t>在“信用中国”网（www.creditchina.gov.cn）中未被列入政府采购严重违法失信行为记录名单、重大税收违法失信主体；在“中国执行信息公开网”（http://zxgk.court.gov.cn/shixin/）中未被列入失信被执行人，否则不得参与本项目投标</w:t>
      </w:r>
      <w:r>
        <w:rPr>
          <w:rFonts w:hint="eastAsia" w:ascii="宋体" w:hAnsi="宋体" w:eastAsia="宋体" w:cs="宋体"/>
          <w:color w:val="auto"/>
          <w:kern w:val="0"/>
          <w:sz w:val="24"/>
          <w:highlight w:val="none"/>
          <w:shd w:val="clear" w:color="auto" w:fill="FFFFFF"/>
          <w:lang w:val="en-US" w:eastAsia="zh-CN"/>
        </w:rPr>
        <w:t>。</w:t>
      </w:r>
    </w:p>
    <w:p w14:paraId="3CD4E591">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default"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2.6具有稳定、符合国家油质（油品齐全）标准的供货渠道，所属的经营场所设施条件及防火安全符合国家加油站管理标准，具备全年 7*24 小时为机动车加油服务能力。</w:t>
      </w:r>
    </w:p>
    <w:p w14:paraId="652379DD">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2.7本项目不接受联合体投标，</w:t>
      </w:r>
      <w:r>
        <w:rPr>
          <w:rFonts w:hint="eastAsia" w:ascii="宋体" w:hAnsi="宋体" w:eastAsia="宋体" w:cs="宋体"/>
          <w:color w:val="auto"/>
          <w:kern w:val="0"/>
          <w:sz w:val="24"/>
          <w:szCs w:val="24"/>
          <w:highlight w:val="none"/>
          <w:lang w:eastAsia="zh-CN"/>
        </w:rPr>
        <w:t>本项目可兼投兼中</w:t>
      </w:r>
      <w:r>
        <w:rPr>
          <w:rFonts w:hint="eastAsia" w:ascii="宋体" w:hAnsi="宋体" w:eastAsia="宋体" w:cs="宋体"/>
          <w:color w:val="auto"/>
          <w:kern w:val="0"/>
          <w:sz w:val="24"/>
          <w:highlight w:val="none"/>
          <w:shd w:val="clear" w:color="auto" w:fill="FFFFFF"/>
          <w:lang w:val="en-US" w:eastAsia="zh-CN"/>
        </w:rPr>
        <w:t>。</w:t>
      </w:r>
    </w:p>
    <w:p w14:paraId="5648EF35">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三、资格预审方法</w:t>
      </w:r>
    </w:p>
    <w:p w14:paraId="57AAD5DA">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本项目资格预审采用合格制，全部满足资格条件的申请人均通过资格预审，均可参与后续投标。</w:t>
      </w:r>
    </w:p>
    <w:p w14:paraId="11485CF0">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四、招标资料的获取</w:t>
      </w:r>
    </w:p>
    <w:p w14:paraId="4B284E17">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zh-CN" w:eastAsia="zh-CN"/>
        </w:rPr>
      </w:pPr>
      <w:r>
        <w:rPr>
          <w:rFonts w:hint="eastAsia" w:ascii="宋体" w:hAnsi="宋体" w:eastAsia="宋体" w:cs="宋体"/>
          <w:color w:val="auto"/>
          <w:kern w:val="0"/>
          <w:sz w:val="24"/>
          <w:highlight w:val="none"/>
          <w:shd w:val="clear" w:color="auto" w:fill="FFFFFF"/>
          <w:lang w:val="zh-CN" w:eastAsia="zh-CN"/>
        </w:rPr>
        <w:t>4.1凡符合资格要求并有意参加的</w:t>
      </w:r>
      <w:r>
        <w:rPr>
          <w:rFonts w:hint="eastAsia" w:ascii="宋体" w:hAnsi="宋体" w:eastAsia="宋体" w:cs="宋体"/>
          <w:color w:val="auto"/>
          <w:kern w:val="0"/>
          <w:sz w:val="24"/>
          <w:highlight w:val="none"/>
          <w:shd w:val="clear" w:color="auto" w:fill="FFFFFF"/>
          <w:lang w:val="en-US" w:eastAsia="zh-CN"/>
        </w:rPr>
        <w:t>申请人</w:t>
      </w:r>
      <w:r>
        <w:rPr>
          <w:rFonts w:hint="eastAsia" w:ascii="宋体" w:hAnsi="宋体" w:eastAsia="宋体" w:cs="宋体"/>
          <w:color w:val="auto"/>
          <w:kern w:val="0"/>
          <w:sz w:val="24"/>
          <w:highlight w:val="none"/>
          <w:shd w:val="clear" w:color="auto" w:fill="FFFFFF"/>
          <w:lang w:val="zh-CN" w:eastAsia="zh-CN"/>
        </w:rPr>
        <w:t>，请于20</w:t>
      </w:r>
      <w:r>
        <w:rPr>
          <w:rFonts w:hint="eastAsia" w:ascii="宋体" w:hAnsi="宋体" w:eastAsia="宋体" w:cs="宋体"/>
          <w:color w:val="auto"/>
          <w:kern w:val="0"/>
          <w:sz w:val="24"/>
          <w:highlight w:val="none"/>
          <w:shd w:val="clear" w:color="auto" w:fill="FFFFFF"/>
          <w:lang w:val="en-US" w:eastAsia="zh-CN"/>
        </w:rPr>
        <w:t>26</w:t>
      </w:r>
      <w:r>
        <w:rPr>
          <w:rFonts w:hint="eastAsia" w:ascii="宋体" w:hAnsi="宋体" w:eastAsia="宋体" w:cs="宋体"/>
          <w:color w:val="auto"/>
          <w:kern w:val="0"/>
          <w:sz w:val="24"/>
          <w:highlight w:val="none"/>
          <w:shd w:val="clear" w:color="auto" w:fill="FFFFFF"/>
          <w:lang w:val="zh-CN" w:eastAsia="zh-CN"/>
        </w:rPr>
        <w:t>年</w:t>
      </w:r>
      <w:r>
        <w:rPr>
          <w:rFonts w:hint="eastAsia" w:ascii="宋体" w:hAnsi="宋体" w:eastAsia="宋体" w:cs="宋体"/>
          <w:color w:val="auto"/>
          <w:kern w:val="0"/>
          <w:sz w:val="24"/>
          <w:highlight w:val="none"/>
          <w:shd w:val="clear" w:color="auto" w:fill="FFFFFF"/>
          <w:lang w:val="en-US" w:eastAsia="zh-CN"/>
        </w:rPr>
        <w:t>7</w:t>
      </w:r>
      <w:r>
        <w:rPr>
          <w:rFonts w:hint="eastAsia" w:ascii="宋体" w:hAnsi="宋体" w:eastAsia="宋体" w:cs="宋体"/>
          <w:color w:val="auto"/>
          <w:kern w:val="0"/>
          <w:sz w:val="24"/>
          <w:highlight w:val="none"/>
          <w:shd w:val="clear" w:color="auto" w:fill="FFFFFF"/>
          <w:lang w:val="zh-CN" w:eastAsia="zh-CN"/>
        </w:rPr>
        <w:t>月</w:t>
      </w:r>
      <w:r>
        <w:rPr>
          <w:rFonts w:hint="eastAsia" w:ascii="宋体" w:hAnsi="宋体" w:eastAsia="宋体" w:cs="宋体"/>
          <w:color w:val="auto"/>
          <w:kern w:val="0"/>
          <w:sz w:val="24"/>
          <w:highlight w:val="none"/>
          <w:shd w:val="clear" w:color="auto" w:fill="FFFFFF"/>
          <w:lang w:val="en-US" w:eastAsia="zh-CN"/>
        </w:rPr>
        <w:t>28</w:t>
      </w:r>
      <w:r>
        <w:rPr>
          <w:rFonts w:hint="eastAsia" w:ascii="宋体" w:hAnsi="宋体" w:eastAsia="宋体" w:cs="宋体"/>
          <w:color w:val="auto"/>
          <w:kern w:val="0"/>
          <w:sz w:val="24"/>
          <w:highlight w:val="none"/>
          <w:shd w:val="clear" w:color="auto" w:fill="FFFFFF"/>
          <w:lang w:val="zh-CN" w:eastAsia="zh-CN"/>
        </w:rPr>
        <w:t>日</w:t>
      </w:r>
      <w:r>
        <w:rPr>
          <w:rFonts w:hint="eastAsia" w:ascii="宋体" w:hAnsi="宋体" w:eastAsia="宋体" w:cs="宋体"/>
          <w:color w:val="auto"/>
          <w:kern w:val="0"/>
          <w:sz w:val="24"/>
          <w:highlight w:val="none"/>
          <w:shd w:val="clear" w:color="auto" w:fill="FFFFFF"/>
          <w:lang w:val="en-US" w:eastAsia="zh-CN"/>
        </w:rPr>
        <w:t>24</w:t>
      </w:r>
      <w:r>
        <w:rPr>
          <w:rFonts w:hint="eastAsia" w:ascii="宋体" w:hAnsi="宋体" w:eastAsia="宋体" w:cs="宋体"/>
          <w:color w:val="auto"/>
          <w:kern w:val="0"/>
          <w:sz w:val="24"/>
          <w:highlight w:val="none"/>
          <w:shd w:val="clear" w:color="auto" w:fill="FFFFFF"/>
          <w:lang w:val="zh-CN" w:eastAsia="zh-CN"/>
        </w:rPr>
        <w:t>时前任意时间登陆招采进宝山东专区（http://sd.zcjb.com.cn），自行下载资格预审文件，未能在规定时间内通过此网站下载资格预审文件的申请人，造成无法制作电子资格预审申请文件，后果自行承担。关于本项目的变更、修改、澄清、补充内容及对项目的暂停、延期通知等情况，均在该网站发布，申请人自行查阅网站信息。</w:t>
      </w:r>
    </w:p>
    <w:p w14:paraId="4E4258DB">
      <w:pPr>
        <w:keepNext w:val="0"/>
        <w:keepLines w:val="0"/>
        <w:pageBreakBefore w:val="0"/>
        <w:kinsoku/>
        <w:overflowPunct/>
        <w:topLinePunct w:val="0"/>
        <w:autoSpaceDE/>
        <w:autoSpaceDN/>
        <w:bidi w:val="0"/>
        <w:spacing w:line="360" w:lineRule="auto"/>
        <w:ind w:firstLine="480" w:firstLineChars="200"/>
        <w:textAlignment w:val="auto"/>
        <w:rPr>
          <w:rFonts w:hint="eastAsia" w:ascii="宋体" w:hAnsi="宋体" w:eastAsia="宋体" w:cs="宋体"/>
          <w:color w:val="auto"/>
          <w:kern w:val="0"/>
          <w:sz w:val="24"/>
          <w:highlight w:val="none"/>
          <w:shd w:val="clear" w:color="auto" w:fill="FFFFFF"/>
          <w:lang w:val="zh-CN" w:eastAsia="zh-CN"/>
        </w:rPr>
      </w:pPr>
      <w:r>
        <w:rPr>
          <w:rFonts w:hint="eastAsia" w:ascii="宋体" w:hAnsi="宋体" w:eastAsia="宋体" w:cs="宋体"/>
          <w:color w:val="auto"/>
          <w:kern w:val="0"/>
          <w:sz w:val="24"/>
          <w:highlight w:val="none"/>
          <w:shd w:val="clear" w:color="auto" w:fill="FFFFFF"/>
          <w:lang w:val="zh-CN" w:eastAsia="zh-CN"/>
        </w:rPr>
        <w:t>4.2申请人须在招采进宝山东专区（http://sd.zcjb.com.cn）完成注册。未经注册的申请人在招采进宝山东专区（http://sd.zcjb.com.cn），按照首页“通知公告”中“申请人注册指南”进行注册。</w:t>
      </w:r>
      <w:r>
        <w:rPr>
          <w:rFonts w:hint="eastAsia" w:ascii="宋体" w:hAnsi="宋体" w:eastAsia="宋体" w:cs="宋体"/>
          <w:sz w:val="24"/>
          <w:lang w:eastAsia="zh-CN"/>
        </w:rPr>
        <w:t>申请人</w:t>
      </w:r>
      <w:r>
        <w:rPr>
          <w:rFonts w:hint="eastAsia" w:ascii="宋体" w:hAnsi="宋体" w:cs="宋体"/>
          <w:sz w:val="24"/>
        </w:rPr>
        <w:t>在使用招采进宝招投标交易平台时，如有任何疑问，请拨打招采进宝平台客服电话4006166620。</w:t>
      </w:r>
    </w:p>
    <w:p w14:paraId="6780AFEC">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zh-CN" w:eastAsia="zh-CN"/>
        </w:rPr>
      </w:pPr>
      <w:r>
        <w:rPr>
          <w:rFonts w:hint="eastAsia" w:ascii="宋体" w:hAnsi="宋体" w:eastAsia="宋体" w:cs="宋体"/>
          <w:color w:val="auto"/>
          <w:kern w:val="0"/>
          <w:sz w:val="24"/>
          <w:highlight w:val="none"/>
          <w:shd w:val="clear" w:color="auto" w:fill="FFFFFF"/>
          <w:lang w:val="zh-CN" w:eastAsia="zh-CN"/>
        </w:rPr>
        <w:t>4.3编制资格预审申请文件需使用企业CA，未办理CA的申请人，需进行企业CA注册。CA注册有一定周期，请及时办理以免影响本项目投标。现场办理流程参照招采进宝山东专区（http://sd.zcjb.com.cn）首页“通知公告”栏目；在线办理地址为：http://sd.zcjb.com.cn/cms/channel/zd8=notice/2079392.htm。</w:t>
      </w:r>
    </w:p>
    <w:p w14:paraId="5E37A815">
      <w:pPr>
        <w:spacing w:line="360" w:lineRule="auto"/>
        <w:ind w:firstLine="480" w:firstLineChars="200"/>
        <w:rPr>
          <w:rFonts w:hint="eastAsia" w:ascii="宋体" w:hAnsi="宋体" w:eastAsia="宋体" w:cs="宋体"/>
          <w:color w:val="auto"/>
          <w:kern w:val="0"/>
          <w:sz w:val="24"/>
          <w:highlight w:val="none"/>
          <w:shd w:val="clear" w:color="auto" w:fill="FFFFFF"/>
          <w:lang w:val="zh-CN" w:eastAsia="zh-CN"/>
        </w:rPr>
      </w:pPr>
      <w:r>
        <w:rPr>
          <w:rFonts w:hint="eastAsia" w:ascii="宋体" w:hAnsi="宋体" w:eastAsia="宋体" w:cs="宋体"/>
          <w:color w:val="auto"/>
          <w:kern w:val="0"/>
          <w:sz w:val="24"/>
          <w:highlight w:val="none"/>
          <w:shd w:val="clear" w:color="auto" w:fill="FFFFFF"/>
          <w:lang w:val="zh-CN" w:eastAsia="zh-CN"/>
        </w:rPr>
        <w:t>注：具体流程请登录招采进宝山东专区（http://sd.zcjb.com.cn），在“常用文件”栏目下载操作手册。潜在申请人如对资格预审文件有疑问或异议的，可以在规定时间内通过招采进宝山东专区提出。</w:t>
      </w:r>
      <w:r>
        <w:rPr>
          <w:rFonts w:hint="eastAsia" w:ascii="宋体" w:hAnsi="宋体" w:eastAsia="宋体" w:cs="宋体"/>
          <w:sz w:val="24"/>
          <w:lang w:eastAsia="zh-CN"/>
        </w:rPr>
        <w:t>申请人</w:t>
      </w:r>
      <w:r>
        <w:rPr>
          <w:rFonts w:hint="eastAsia" w:ascii="宋体" w:hAnsi="宋体" w:cs="宋体"/>
          <w:sz w:val="24"/>
        </w:rPr>
        <w:t>在使用招采进宝招投标交易平台时，如有任何疑问，请拨打招采进宝平台客服电话4006166620。</w:t>
      </w:r>
    </w:p>
    <w:p w14:paraId="2F47D075">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五、投标截止时间、开标时间及地点</w:t>
      </w:r>
    </w:p>
    <w:p w14:paraId="31AE8F9C">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zh-CN" w:eastAsia="zh-CN"/>
        </w:rPr>
      </w:pPr>
      <w:r>
        <w:rPr>
          <w:rFonts w:hint="eastAsia" w:ascii="宋体" w:hAnsi="宋体" w:eastAsia="宋体" w:cs="宋体"/>
          <w:color w:val="auto"/>
          <w:kern w:val="0"/>
          <w:sz w:val="24"/>
          <w:highlight w:val="none"/>
          <w:shd w:val="clear" w:color="auto" w:fill="FFFFFF"/>
          <w:lang w:val="en-US" w:eastAsia="zh-CN"/>
        </w:rPr>
        <w:t>5.</w:t>
      </w:r>
      <w:r>
        <w:rPr>
          <w:rFonts w:hint="eastAsia" w:ascii="宋体" w:hAnsi="宋体" w:eastAsia="宋体" w:cs="宋体"/>
          <w:color w:val="auto"/>
          <w:kern w:val="0"/>
          <w:sz w:val="24"/>
          <w:highlight w:val="none"/>
          <w:shd w:val="clear" w:color="auto" w:fill="FFFFFF"/>
          <w:lang w:val="zh-CN" w:eastAsia="zh-CN"/>
        </w:rPr>
        <w:t>1时间：</w:t>
      </w:r>
      <w:r>
        <w:rPr>
          <w:rFonts w:hint="eastAsia" w:ascii="Times New Roman" w:hAnsi="Times New Roman" w:cs="Times New Roman"/>
          <w:kern w:val="2"/>
          <w:sz w:val="24"/>
          <w:szCs w:val="24"/>
        </w:rPr>
        <w:t>详见</w:t>
      </w:r>
      <w:r>
        <w:rPr>
          <w:rFonts w:hint="eastAsia" w:ascii="Times New Roman" w:hAnsi="Times New Roman" w:cs="Times New Roman"/>
          <w:kern w:val="2"/>
          <w:sz w:val="24"/>
          <w:szCs w:val="24"/>
          <w:lang w:val="en-US" w:eastAsia="zh-CN"/>
        </w:rPr>
        <w:t>资格预审</w:t>
      </w:r>
      <w:r>
        <w:rPr>
          <w:rFonts w:hint="eastAsia" w:ascii="Times New Roman" w:hAnsi="Times New Roman" w:cs="Times New Roman"/>
          <w:kern w:val="2"/>
          <w:sz w:val="24"/>
          <w:szCs w:val="24"/>
        </w:rPr>
        <w:t>文件</w:t>
      </w:r>
      <w:r>
        <w:rPr>
          <w:rFonts w:hint="eastAsia" w:ascii="Times New Roman" w:hAnsi="Times New Roman" w:cs="Times New Roman"/>
          <w:kern w:val="2"/>
          <w:sz w:val="24"/>
          <w:szCs w:val="24"/>
          <w:lang w:eastAsia="zh-CN"/>
        </w:rPr>
        <w:t>。</w:t>
      </w:r>
    </w:p>
    <w:p w14:paraId="70ADA4D1">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zh-CN" w:eastAsia="zh-CN"/>
        </w:rPr>
      </w:pPr>
      <w:r>
        <w:rPr>
          <w:rFonts w:hint="eastAsia" w:ascii="宋体" w:hAnsi="宋体" w:eastAsia="宋体" w:cs="宋体"/>
          <w:color w:val="auto"/>
          <w:kern w:val="0"/>
          <w:sz w:val="24"/>
          <w:highlight w:val="none"/>
          <w:shd w:val="clear" w:color="auto" w:fill="FFFFFF"/>
          <w:lang w:val="en-US" w:eastAsia="zh-CN"/>
        </w:rPr>
        <w:t>5.</w:t>
      </w:r>
      <w:r>
        <w:rPr>
          <w:rFonts w:hint="eastAsia" w:ascii="宋体" w:hAnsi="宋体" w:eastAsia="宋体" w:cs="宋体"/>
          <w:color w:val="auto"/>
          <w:kern w:val="0"/>
          <w:sz w:val="24"/>
          <w:highlight w:val="none"/>
          <w:shd w:val="clear" w:color="auto" w:fill="FFFFFF"/>
          <w:lang w:val="zh-CN" w:eastAsia="zh-CN"/>
        </w:rPr>
        <w:t>2地点：本项目实行不见面开标，不接受</w:t>
      </w:r>
      <w:r>
        <w:rPr>
          <w:rFonts w:hint="eastAsia" w:ascii="宋体" w:hAnsi="宋体" w:eastAsia="宋体" w:cs="宋体"/>
          <w:color w:val="auto"/>
          <w:kern w:val="0"/>
          <w:sz w:val="24"/>
          <w:highlight w:val="none"/>
          <w:shd w:val="clear" w:color="auto" w:fill="FFFFFF"/>
          <w:lang w:val="en-US" w:eastAsia="zh-CN"/>
        </w:rPr>
        <w:t>申请人</w:t>
      </w:r>
      <w:r>
        <w:rPr>
          <w:rFonts w:hint="eastAsia" w:ascii="宋体" w:hAnsi="宋体" w:eastAsia="宋体" w:cs="宋体"/>
          <w:color w:val="auto"/>
          <w:kern w:val="0"/>
          <w:sz w:val="24"/>
          <w:highlight w:val="none"/>
          <w:shd w:val="clear" w:color="auto" w:fill="FFFFFF"/>
          <w:lang w:val="zh-CN" w:eastAsia="zh-CN"/>
        </w:rPr>
        <w:t>来现场开标。</w:t>
      </w:r>
      <w:r>
        <w:rPr>
          <w:rFonts w:hint="eastAsia" w:ascii="宋体" w:hAnsi="宋体" w:eastAsia="宋体" w:cs="宋体"/>
          <w:color w:val="auto"/>
          <w:kern w:val="0"/>
          <w:sz w:val="24"/>
          <w:highlight w:val="none"/>
          <w:shd w:val="clear" w:color="auto" w:fill="FFFFFF"/>
          <w:lang w:val="en-US" w:eastAsia="zh-CN"/>
        </w:rPr>
        <w:t>申请人</w:t>
      </w:r>
      <w:r>
        <w:rPr>
          <w:rFonts w:hint="eastAsia" w:ascii="宋体" w:hAnsi="宋体" w:eastAsia="宋体" w:cs="宋体"/>
          <w:color w:val="auto"/>
          <w:kern w:val="0"/>
          <w:sz w:val="24"/>
          <w:highlight w:val="none"/>
          <w:shd w:val="clear" w:color="auto" w:fill="FFFFFF"/>
          <w:lang w:val="zh-CN" w:eastAsia="zh-CN"/>
        </w:rPr>
        <w:t>应当按照</w:t>
      </w:r>
      <w:r>
        <w:rPr>
          <w:rFonts w:hint="eastAsia" w:ascii="宋体" w:hAnsi="宋体" w:eastAsia="宋体" w:cs="宋体"/>
          <w:color w:val="auto"/>
          <w:kern w:val="0"/>
          <w:sz w:val="24"/>
          <w:highlight w:val="none"/>
          <w:shd w:val="clear" w:color="auto" w:fill="FFFFFF"/>
          <w:lang w:val="en-US" w:eastAsia="zh-CN"/>
        </w:rPr>
        <w:t>资格预审文件</w:t>
      </w:r>
      <w:r>
        <w:rPr>
          <w:rFonts w:hint="default" w:ascii="宋体" w:hAnsi="宋体" w:eastAsia="宋体" w:cs="宋体"/>
          <w:color w:val="auto"/>
          <w:kern w:val="0"/>
          <w:sz w:val="24"/>
          <w:highlight w:val="none"/>
          <w:shd w:val="clear" w:color="auto" w:fill="FFFFFF"/>
          <w:lang w:val="zh-CN" w:eastAsia="zh-CN"/>
        </w:rPr>
        <w:t>要求，准时于线上开标大厅参加开标活动，并使用CA在规定的时间内自行完成解密。若</w:t>
      </w:r>
      <w:r>
        <w:rPr>
          <w:rFonts w:hint="eastAsia" w:ascii="宋体" w:hAnsi="宋体" w:eastAsia="宋体" w:cs="宋体"/>
          <w:color w:val="auto"/>
          <w:kern w:val="0"/>
          <w:sz w:val="24"/>
          <w:highlight w:val="none"/>
          <w:shd w:val="clear" w:color="auto" w:fill="FFFFFF"/>
          <w:lang w:val="en-US" w:eastAsia="zh-CN"/>
        </w:rPr>
        <w:t>申请人</w:t>
      </w:r>
      <w:r>
        <w:rPr>
          <w:rFonts w:hint="default" w:ascii="宋体" w:hAnsi="宋体" w:eastAsia="宋体" w:cs="宋体"/>
          <w:color w:val="auto"/>
          <w:kern w:val="0"/>
          <w:sz w:val="24"/>
          <w:highlight w:val="none"/>
          <w:shd w:val="clear" w:color="auto" w:fill="FFFFFF"/>
          <w:lang w:val="zh-CN" w:eastAsia="zh-CN"/>
        </w:rPr>
        <w:t>在规定时间内未完成电子</w:t>
      </w:r>
      <w:r>
        <w:rPr>
          <w:rFonts w:hint="eastAsia" w:ascii="宋体" w:hAnsi="宋体" w:eastAsia="宋体" w:cs="宋体"/>
          <w:color w:val="auto"/>
          <w:kern w:val="0"/>
          <w:sz w:val="24"/>
          <w:highlight w:val="none"/>
          <w:shd w:val="clear" w:color="auto" w:fill="FFFFFF"/>
          <w:lang w:val="en-US" w:eastAsia="zh-CN"/>
        </w:rPr>
        <w:t>资格预审申请文件</w:t>
      </w:r>
      <w:r>
        <w:rPr>
          <w:rFonts w:hint="default" w:ascii="宋体" w:hAnsi="宋体" w:eastAsia="宋体" w:cs="宋体"/>
          <w:color w:val="auto"/>
          <w:kern w:val="0"/>
          <w:sz w:val="24"/>
          <w:highlight w:val="none"/>
          <w:shd w:val="clear" w:color="auto" w:fill="FFFFFF"/>
          <w:lang w:val="zh-CN" w:eastAsia="zh-CN"/>
        </w:rPr>
        <w:t>解密操作，视为放弃该项目投标。</w:t>
      </w:r>
      <w:r>
        <w:rPr>
          <w:rFonts w:hint="eastAsia" w:ascii="宋体" w:hAnsi="宋体" w:eastAsia="宋体" w:cs="宋体"/>
          <w:color w:val="auto"/>
          <w:kern w:val="0"/>
          <w:sz w:val="24"/>
          <w:highlight w:val="none"/>
          <w:shd w:val="clear" w:color="auto" w:fill="FFFFFF"/>
          <w:lang w:val="en-US" w:eastAsia="zh-CN"/>
        </w:rPr>
        <w:t>申请人</w:t>
      </w:r>
      <w:r>
        <w:rPr>
          <w:rFonts w:hint="default" w:ascii="宋体" w:hAnsi="宋体" w:eastAsia="宋体" w:cs="宋体"/>
          <w:color w:val="auto"/>
          <w:kern w:val="0"/>
          <w:sz w:val="24"/>
          <w:highlight w:val="none"/>
          <w:shd w:val="clear" w:color="auto" w:fill="FFFFFF"/>
          <w:lang w:val="zh-CN" w:eastAsia="zh-CN"/>
        </w:rPr>
        <w:t>应提前做好有关设施、设备配置安装工作，确保自己的电脑环境、CA锁、网络等状况良好，以免影响其参与招标活动。因</w:t>
      </w:r>
      <w:r>
        <w:rPr>
          <w:rFonts w:hint="eastAsia" w:ascii="宋体" w:hAnsi="宋体" w:eastAsia="宋体" w:cs="宋体"/>
          <w:color w:val="auto"/>
          <w:kern w:val="0"/>
          <w:sz w:val="24"/>
          <w:highlight w:val="none"/>
          <w:shd w:val="clear" w:color="auto" w:fill="FFFFFF"/>
          <w:lang w:val="en-US" w:eastAsia="zh-CN"/>
        </w:rPr>
        <w:t>申请人</w:t>
      </w:r>
      <w:r>
        <w:rPr>
          <w:rFonts w:hint="default" w:ascii="宋体" w:hAnsi="宋体" w:eastAsia="宋体" w:cs="宋体"/>
          <w:color w:val="auto"/>
          <w:kern w:val="0"/>
          <w:sz w:val="24"/>
          <w:highlight w:val="none"/>
          <w:shd w:val="clear" w:color="auto" w:fill="FFFFFF"/>
          <w:lang w:val="zh-CN" w:eastAsia="zh-CN"/>
        </w:rPr>
        <w:t>自身软硬件配备不齐全或发生故障等问题而导致在交互过程中出现不稳定或中断等情况的，由</w:t>
      </w:r>
      <w:r>
        <w:rPr>
          <w:rFonts w:hint="eastAsia" w:ascii="宋体" w:hAnsi="宋体" w:eastAsia="宋体" w:cs="宋体"/>
          <w:color w:val="auto"/>
          <w:kern w:val="0"/>
          <w:sz w:val="24"/>
          <w:highlight w:val="none"/>
          <w:shd w:val="clear" w:color="auto" w:fill="FFFFFF"/>
          <w:lang w:val="en-US" w:eastAsia="zh-CN"/>
        </w:rPr>
        <w:t>申请人</w:t>
      </w:r>
      <w:r>
        <w:rPr>
          <w:rFonts w:hint="default" w:ascii="宋体" w:hAnsi="宋体" w:eastAsia="宋体" w:cs="宋体"/>
          <w:color w:val="auto"/>
          <w:kern w:val="0"/>
          <w:sz w:val="24"/>
          <w:highlight w:val="none"/>
          <w:shd w:val="clear" w:color="auto" w:fill="FFFFFF"/>
          <w:lang w:val="zh-CN" w:eastAsia="zh-CN"/>
        </w:rPr>
        <w:t>自身承担一切后果。</w:t>
      </w:r>
    </w:p>
    <w:p w14:paraId="5435F277">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zh-CN" w:eastAsia="zh-CN"/>
        </w:rPr>
      </w:pPr>
      <w:r>
        <w:rPr>
          <w:rFonts w:hint="eastAsia" w:ascii="宋体" w:hAnsi="宋体" w:eastAsia="宋体" w:cs="宋体"/>
          <w:color w:val="auto"/>
          <w:kern w:val="0"/>
          <w:sz w:val="24"/>
          <w:highlight w:val="none"/>
          <w:shd w:val="clear" w:color="auto" w:fill="FFFFFF"/>
          <w:lang w:val="en-US" w:eastAsia="zh-CN"/>
        </w:rPr>
        <w:t>5.3递交方式：本次招标为电子化招标，申请人</w:t>
      </w:r>
      <w:r>
        <w:rPr>
          <w:rFonts w:hint="default" w:ascii="宋体" w:hAnsi="宋体" w:eastAsia="宋体" w:cs="宋体"/>
          <w:color w:val="auto"/>
          <w:kern w:val="0"/>
          <w:sz w:val="24"/>
          <w:highlight w:val="none"/>
          <w:shd w:val="clear" w:color="auto" w:fill="FFFFFF"/>
          <w:lang w:val="zh-CN" w:eastAsia="zh-CN"/>
        </w:rPr>
        <w:t>应通过</w:t>
      </w:r>
      <w:r>
        <w:rPr>
          <w:rFonts w:hint="eastAsia" w:ascii="宋体" w:hAnsi="宋体" w:eastAsia="宋体" w:cs="宋体"/>
          <w:color w:val="auto"/>
          <w:kern w:val="0"/>
          <w:sz w:val="24"/>
          <w:highlight w:val="none"/>
          <w:shd w:val="clear" w:color="auto" w:fill="FFFFFF"/>
          <w:lang w:val="zh-CN" w:eastAsia="zh-CN"/>
        </w:rPr>
        <w:t>招采进宝山东专区（http://sd.zcjb.com.cn）</w:t>
      </w:r>
      <w:r>
        <w:rPr>
          <w:rFonts w:hint="default" w:ascii="宋体" w:hAnsi="宋体" w:eastAsia="宋体" w:cs="宋体"/>
          <w:color w:val="auto"/>
          <w:kern w:val="0"/>
          <w:sz w:val="24"/>
          <w:highlight w:val="none"/>
          <w:shd w:val="clear" w:color="auto" w:fill="FFFFFF"/>
          <w:lang w:val="zh-CN" w:eastAsia="zh-CN"/>
        </w:rPr>
        <w:t>上传经CA加密的电子</w:t>
      </w:r>
      <w:r>
        <w:rPr>
          <w:rFonts w:hint="eastAsia" w:ascii="宋体" w:hAnsi="宋体" w:eastAsia="宋体" w:cs="宋体"/>
          <w:color w:val="auto"/>
          <w:kern w:val="0"/>
          <w:sz w:val="24"/>
          <w:highlight w:val="none"/>
          <w:shd w:val="clear" w:color="auto" w:fill="FFFFFF"/>
          <w:lang w:val="en-US" w:eastAsia="zh-CN"/>
        </w:rPr>
        <w:t>资格预审申请文件</w:t>
      </w:r>
      <w:r>
        <w:rPr>
          <w:rFonts w:hint="default" w:ascii="宋体" w:hAnsi="宋体" w:eastAsia="宋体" w:cs="宋体"/>
          <w:color w:val="auto"/>
          <w:kern w:val="0"/>
          <w:sz w:val="24"/>
          <w:highlight w:val="none"/>
          <w:shd w:val="clear" w:color="auto" w:fill="FFFFFF"/>
          <w:lang w:val="zh-CN" w:eastAsia="zh-CN"/>
        </w:rPr>
        <w:t>，逾期未完成上传的，</w:t>
      </w:r>
      <w:r>
        <w:rPr>
          <w:rFonts w:hint="eastAsia" w:ascii="宋体" w:hAnsi="宋体" w:eastAsia="宋体" w:cs="宋体"/>
          <w:color w:val="auto"/>
          <w:kern w:val="0"/>
          <w:sz w:val="24"/>
          <w:highlight w:val="none"/>
          <w:shd w:val="clear" w:color="auto" w:fill="FFFFFF"/>
          <w:lang w:val="en-US" w:eastAsia="zh-CN"/>
        </w:rPr>
        <w:t>招标</w:t>
      </w:r>
      <w:r>
        <w:rPr>
          <w:rFonts w:hint="default" w:ascii="宋体" w:hAnsi="宋体" w:eastAsia="宋体" w:cs="宋体"/>
          <w:color w:val="auto"/>
          <w:kern w:val="0"/>
          <w:sz w:val="24"/>
          <w:highlight w:val="none"/>
          <w:shd w:val="clear" w:color="auto" w:fill="FFFFFF"/>
          <w:lang w:val="zh-CN" w:eastAsia="zh-CN"/>
        </w:rPr>
        <w:t>人将拒收。因未在规定时间内下载</w:t>
      </w:r>
      <w:r>
        <w:rPr>
          <w:rFonts w:hint="eastAsia" w:ascii="宋体" w:hAnsi="宋体" w:eastAsia="宋体" w:cs="宋体"/>
          <w:color w:val="auto"/>
          <w:kern w:val="0"/>
          <w:sz w:val="24"/>
          <w:highlight w:val="none"/>
          <w:shd w:val="clear" w:color="auto" w:fill="FFFFFF"/>
          <w:lang w:val="en-US" w:eastAsia="zh-CN"/>
        </w:rPr>
        <w:t>资格预审文件</w:t>
      </w:r>
      <w:r>
        <w:rPr>
          <w:rFonts w:hint="default" w:ascii="宋体" w:hAnsi="宋体" w:eastAsia="宋体" w:cs="宋体"/>
          <w:color w:val="auto"/>
          <w:kern w:val="0"/>
          <w:sz w:val="24"/>
          <w:highlight w:val="none"/>
          <w:shd w:val="clear" w:color="auto" w:fill="FFFFFF"/>
          <w:lang w:val="zh-CN" w:eastAsia="zh-CN"/>
        </w:rPr>
        <w:t>（包括各类澄清答疑），导致无法上传</w:t>
      </w:r>
      <w:r>
        <w:rPr>
          <w:rFonts w:hint="eastAsia" w:ascii="宋体" w:hAnsi="宋体" w:eastAsia="宋体" w:cs="宋体"/>
          <w:color w:val="auto"/>
          <w:kern w:val="0"/>
          <w:sz w:val="24"/>
          <w:highlight w:val="none"/>
          <w:shd w:val="clear" w:color="auto" w:fill="FFFFFF"/>
          <w:lang w:val="en-US" w:eastAsia="zh-CN"/>
        </w:rPr>
        <w:t>资格预审申请文件</w:t>
      </w:r>
      <w:r>
        <w:rPr>
          <w:rFonts w:hint="default" w:ascii="宋体" w:hAnsi="宋体" w:eastAsia="宋体" w:cs="宋体"/>
          <w:color w:val="auto"/>
          <w:kern w:val="0"/>
          <w:sz w:val="24"/>
          <w:highlight w:val="none"/>
          <w:shd w:val="clear" w:color="auto" w:fill="FFFFFF"/>
          <w:lang w:val="zh-CN" w:eastAsia="zh-CN"/>
        </w:rPr>
        <w:t>的，则无法参与本项目投标</w:t>
      </w:r>
      <w:r>
        <w:rPr>
          <w:rFonts w:hint="eastAsia" w:ascii="宋体" w:hAnsi="宋体" w:eastAsia="宋体" w:cs="宋体"/>
          <w:color w:val="auto"/>
          <w:kern w:val="0"/>
          <w:sz w:val="24"/>
          <w:highlight w:val="none"/>
          <w:shd w:val="clear" w:color="auto" w:fill="FFFFFF"/>
          <w:lang w:val="zh-CN" w:eastAsia="zh-CN"/>
        </w:rPr>
        <w:t>。</w:t>
      </w:r>
    </w:p>
    <w:p w14:paraId="25B2A35E">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zh-CN" w:eastAsia="zh-CN"/>
        </w:rPr>
      </w:pPr>
      <w:r>
        <w:rPr>
          <w:rFonts w:hint="eastAsia" w:ascii="宋体" w:hAnsi="宋体" w:eastAsia="宋体" w:cs="宋体"/>
          <w:color w:val="auto"/>
          <w:kern w:val="0"/>
          <w:sz w:val="24"/>
          <w:highlight w:val="none"/>
          <w:shd w:val="clear" w:color="auto" w:fill="FFFFFF"/>
          <w:lang w:val="zh-CN" w:eastAsia="zh-CN"/>
        </w:rPr>
        <w:t>5.4 其他未尽事宜详见资格预审文件。</w:t>
      </w:r>
    </w:p>
    <w:p w14:paraId="7D43CD4A">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六、发布媒介</w:t>
      </w:r>
    </w:p>
    <w:p w14:paraId="6C14079D">
      <w:pPr>
        <w:keepNext w:val="0"/>
        <w:keepLines w:val="0"/>
        <w:pageBreakBefore w:val="0"/>
        <w:widowControl/>
        <w:kinsoku/>
        <w:wordWrap w:val="0"/>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本次公告在</w:t>
      </w:r>
      <w:r>
        <w:rPr>
          <w:rFonts w:hint="default" w:ascii="宋体" w:hAnsi="宋体" w:eastAsia="宋体" w:cs="宋体"/>
          <w:color w:val="auto"/>
          <w:kern w:val="0"/>
          <w:sz w:val="24"/>
          <w:highlight w:val="none"/>
          <w:shd w:val="clear" w:color="auto" w:fill="FFFFFF"/>
          <w:lang w:val="zh-CN" w:eastAsia="zh-CN"/>
        </w:rPr>
        <w:t>中国招标投标公共服务平台、菏泽市公共资源（国有产权）交易服务平台</w:t>
      </w:r>
      <w:r>
        <w:rPr>
          <w:rFonts w:hint="eastAsia" w:ascii="宋体" w:hAnsi="宋体" w:eastAsia="宋体" w:cs="宋体"/>
          <w:color w:val="auto"/>
          <w:kern w:val="0"/>
          <w:sz w:val="24"/>
          <w:highlight w:val="none"/>
          <w:shd w:val="clear" w:color="auto" w:fill="FFFFFF"/>
          <w:lang w:val="zh-CN" w:eastAsia="zh-CN"/>
        </w:rPr>
        <w:t>、招采进宝山东专区（http://sd.zcjb.com.cn）</w:t>
      </w:r>
      <w:r>
        <w:rPr>
          <w:rFonts w:hint="default" w:ascii="宋体" w:hAnsi="宋体" w:eastAsia="宋体" w:cs="宋体"/>
          <w:color w:val="auto"/>
          <w:kern w:val="0"/>
          <w:sz w:val="24"/>
          <w:highlight w:val="none"/>
          <w:shd w:val="clear" w:color="auto" w:fill="FFFFFF"/>
          <w:lang w:val="zh-CN" w:eastAsia="zh-CN"/>
        </w:rPr>
        <w:t>同时发布</w:t>
      </w:r>
      <w:r>
        <w:rPr>
          <w:rFonts w:hint="eastAsia" w:ascii="宋体" w:hAnsi="宋体" w:eastAsia="宋体" w:cs="宋体"/>
          <w:color w:val="auto"/>
          <w:kern w:val="0"/>
          <w:sz w:val="24"/>
          <w:highlight w:val="none"/>
          <w:shd w:val="clear" w:color="auto" w:fill="FFFFFF"/>
          <w:lang w:val="en-US" w:eastAsia="zh-CN"/>
        </w:rPr>
        <w:t xml:space="preserve">。 </w:t>
      </w:r>
    </w:p>
    <w:p w14:paraId="34BE60D5">
      <w:pPr>
        <w:keepNext w:val="0"/>
        <w:keepLines w:val="0"/>
        <w:pageBreakBefore w:val="0"/>
        <w:widowControl/>
        <w:kinsoku/>
        <w:wordWrap/>
        <w:overflowPunct/>
        <w:topLinePunct w:val="0"/>
        <w:autoSpaceDE/>
        <w:autoSpaceDN/>
        <w:bidi w:val="0"/>
        <w:adjustRightInd w:val="0"/>
        <w:snapToGrid w:val="0"/>
        <w:spacing w:line="360" w:lineRule="auto"/>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七、接收异议的联系方式</w:t>
      </w:r>
    </w:p>
    <w:p w14:paraId="3D9E34C0">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zh-CN" w:eastAsia="zh-CN"/>
        </w:rPr>
      </w:pPr>
      <w:r>
        <w:rPr>
          <w:rFonts w:hint="eastAsia" w:ascii="宋体" w:hAnsi="宋体" w:eastAsia="宋体" w:cs="宋体"/>
          <w:color w:val="auto"/>
          <w:kern w:val="0"/>
          <w:sz w:val="24"/>
          <w:highlight w:val="none"/>
          <w:shd w:val="clear" w:color="auto" w:fill="FFFFFF"/>
          <w:lang w:val="en-US" w:eastAsia="zh-CN"/>
        </w:rPr>
        <w:t>1.招标人</w:t>
      </w:r>
      <w:r>
        <w:rPr>
          <w:rFonts w:hint="eastAsia" w:ascii="宋体" w:hAnsi="宋体" w:eastAsia="宋体" w:cs="宋体"/>
          <w:color w:val="auto"/>
          <w:kern w:val="0"/>
          <w:sz w:val="24"/>
          <w:highlight w:val="none"/>
          <w:shd w:val="clear" w:color="auto" w:fill="FFFFFF"/>
          <w:lang w:val="zh-CN" w:eastAsia="zh-CN"/>
        </w:rPr>
        <w:t>：</w:t>
      </w:r>
      <w:r>
        <w:rPr>
          <w:rFonts w:hint="eastAsia" w:ascii="宋体" w:hAnsi="宋体" w:eastAsia="宋体" w:cs="宋体"/>
          <w:color w:val="auto"/>
          <w:kern w:val="0"/>
          <w:sz w:val="24"/>
          <w:highlight w:val="none"/>
          <w:shd w:val="clear" w:color="auto" w:fill="FFFFFF"/>
          <w:lang w:val="en-US" w:eastAsia="zh-CN"/>
        </w:rPr>
        <w:t>菏泽市乾威保安有限公司</w:t>
      </w:r>
    </w:p>
    <w:p w14:paraId="41C0A606">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default"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联系人：邓经理</w:t>
      </w:r>
    </w:p>
    <w:p w14:paraId="142BAE35">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default"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 xml:space="preserve">联系电话：13105303026 </w:t>
      </w:r>
    </w:p>
    <w:p w14:paraId="584F1221">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2.招标代理机构：山东菏投全程管理咨询有限公司</w:t>
      </w:r>
    </w:p>
    <w:p w14:paraId="260CB13B">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default"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联系人：杨经理</w:t>
      </w:r>
    </w:p>
    <w:p w14:paraId="3572CC90">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电 话：15318489361</w:t>
      </w:r>
    </w:p>
    <w:p w14:paraId="372EEECB">
      <w:pPr>
        <w:keepNext w:val="0"/>
        <w:keepLines w:val="0"/>
        <w:pageBreakBefore w:val="0"/>
        <w:widowControl/>
        <w:kinsoku/>
        <w:overflowPunct/>
        <w:topLinePunct w:val="0"/>
        <w:autoSpaceDE/>
        <w:autoSpaceDN/>
        <w:bidi w:val="0"/>
        <w:adjustRightInd/>
        <w:snapToGrid/>
        <w:spacing w:line="360" w:lineRule="auto"/>
        <w:ind w:right="0" w:firstLine="480" w:firstLineChars="200"/>
        <w:jc w:val="left"/>
        <w:textAlignment w:val="auto"/>
        <w:rPr>
          <w:rFonts w:hint="eastAsia" w:ascii="宋体" w:hAnsi="宋体" w:eastAsia="宋体" w:cs="宋体"/>
          <w:color w:val="auto"/>
          <w:kern w:val="0"/>
          <w:sz w:val="24"/>
          <w:highlight w:val="none"/>
          <w:shd w:val="clear" w:color="auto" w:fill="FFFFFF"/>
          <w:lang w:val="en-US" w:eastAsia="zh-CN"/>
        </w:rPr>
      </w:pPr>
      <w:r>
        <w:rPr>
          <w:rFonts w:hint="eastAsia" w:ascii="宋体" w:hAnsi="宋体" w:eastAsia="宋体" w:cs="宋体"/>
          <w:color w:val="auto"/>
          <w:kern w:val="0"/>
          <w:sz w:val="24"/>
          <w:highlight w:val="none"/>
          <w:shd w:val="clear" w:color="auto" w:fill="FFFFFF"/>
          <w:lang w:val="en-US" w:eastAsia="zh-CN"/>
        </w:rPr>
        <w:t>地  址：菏泽市南京路2899号山东华泽创业园内</w:t>
      </w:r>
    </w:p>
    <w:p w14:paraId="454F077E">
      <w:pPr>
        <w:keepNext w:val="0"/>
        <w:keepLines w:val="0"/>
        <w:pageBreakBefore w:val="0"/>
        <w:widowControl/>
        <w:kinsoku/>
        <w:wordWrap w:val="0"/>
        <w:overflowPunct/>
        <w:topLinePunct w:val="0"/>
        <w:autoSpaceDE/>
        <w:autoSpaceDN/>
        <w:bidi w:val="0"/>
        <w:spacing w:line="360" w:lineRule="auto"/>
        <w:ind w:firstLine="482"/>
        <w:textAlignment w:val="auto"/>
        <w:rPr>
          <w:rFonts w:hint="eastAsia" w:ascii="宋体" w:hAnsi="宋体" w:cs="宋体"/>
          <w:kern w:val="0"/>
          <w:sz w:val="24"/>
          <w:lang w:val="en-US" w:eastAsia="zh-CN"/>
        </w:rPr>
      </w:pPr>
      <w:r>
        <w:rPr>
          <w:rFonts w:hint="eastAsia" w:ascii="宋体" w:hAnsi="宋体" w:cs="宋体"/>
          <w:kern w:val="0"/>
          <w:sz w:val="24"/>
        </w:rPr>
        <w:t>邮 箱：</w:t>
      </w:r>
      <w:r>
        <w:rPr>
          <w:rFonts w:hint="eastAsia" w:ascii="宋体" w:hAnsi="宋体" w:cs="宋体"/>
          <w:color w:val="auto"/>
          <w:kern w:val="0"/>
          <w:sz w:val="24"/>
        </w:rPr>
        <w:fldChar w:fldCharType="begin"/>
      </w:r>
      <w:r>
        <w:rPr>
          <w:rFonts w:hint="eastAsia" w:ascii="宋体" w:hAnsi="宋体" w:cs="宋体"/>
          <w:color w:val="auto"/>
          <w:kern w:val="0"/>
          <w:sz w:val="24"/>
        </w:rPr>
        <w:instrText xml:space="preserve"> HYPERLINK "mailto:htqcglzx@163.com" </w:instrText>
      </w:r>
      <w:r>
        <w:rPr>
          <w:rFonts w:hint="eastAsia" w:ascii="宋体" w:hAnsi="宋体" w:cs="宋体"/>
          <w:color w:val="auto"/>
          <w:kern w:val="0"/>
          <w:sz w:val="24"/>
        </w:rPr>
        <w:fldChar w:fldCharType="separate"/>
      </w:r>
      <w:r>
        <w:rPr>
          <w:rStyle w:val="4"/>
          <w:rFonts w:hint="eastAsia" w:ascii="宋体" w:hAnsi="宋体" w:cs="宋体"/>
          <w:color w:val="auto"/>
          <w:kern w:val="0"/>
          <w:sz w:val="24"/>
        </w:rPr>
        <w:t>htqcglzx@163.com</w:t>
      </w:r>
      <w:r>
        <w:rPr>
          <w:rFonts w:hint="eastAsia" w:ascii="宋体" w:hAnsi="宋体" w:cs="宋体"/>
          <w:color w:val="auto"/>
          <w:kern w:val="0"/>
          <w:sz w:val="24"/>
        </w:rPr>
        <w:fldChar w:fldCharType="end"/>
      </w:r>
      <w:r>
        <w:rPr>
          <w:rFonts w:hint="eastAsia" w:ascii="宋体" w:hAnsi="宋体" w:cs="宋体"/>
          <w:color w:val="auto"/>
          <w:kern w:val="0"/>
          <w:sz w:val="24"/>
          <w:lang w:val="en-US" w:eastAsia="zh-CN"/>
        </w:rPr>
        <w:t xml:space="preserve">       </w:t>
      </w:r>
      <w:r>
        <w:rPr>
          <w:rFonts w:hint="eastAsia" w:ascii="宋体" w:hAnsi="宋体" w:cs="宋体"/>
          <w:kern w:val="0"/>
          <w:sz w:val="24"/>
          <w:lang w:val="en-US" w:eastAsia="zh-CN"/>
        </w:rPr>
        <w:t xml:space="preserve">                </w:t>
      </w:r>
    </w:p>
    <w:p w14:paraId="1B200E58">
      <w:pPr>
        <w:keepNext w:val="0"/>
        <w:keepLines w:val="0"/>
        <w:pageBreakBefore w:val="0"/>
        <w:widowControl/>
        <w:kinsoku/>
        <w:wordWrap w:val="0"/>
        <w:overflowPunct/>
        <w:topLinePunct w:val="0"/>
        <w:autoSpaceDE/>
        <w:autoSpaceDN/>
        <w:bidi w:val="0"/>
        <w:spacing w:line="360" w:lineRule="auto"/>
        <w:ind w:firstLine="482"/>
        <w:textAlignment w:val="auto"/>
        <w:rPr>
          <w:rFonts w:hint="eastAsia" w:ascii="宋体" w:hAnsi="宋体" w:cs="宋体"/>
          <w:kern w:val="0"/>
          <w:sz w:val="24"/>
          <w:lang w:val="en-US" w:eastAsia="zh-CN"/>
        </w:rPr>
      </w:pPr>
    </w:p>
    <w:p w14:paraId="0777C44B">
      <w:pPr>
        <w:keepNext w:val="0"/>
        <w:keepLines w:val="0"/>
        <w:pageBreakBefore w:val="0"/>
        <w:widowControl/>
        <w:kinsoku/>
        <w:wordWrap w:val="0"/>
        <w:overflowPunct/>
        <w:topLinePunct w:val="0"/>
        <w:autoSpaceDE/>
        <w:autoSpaceDN/>
        <w:bidi w:val="0"/>
        <w:spacing w:line="360" w:lineRule="auto"/>
        <w:ind w:firstLine="482"/>
        <w:jc w:val="right"/>
        <w:textAlignment w:val="auto"/>
        <w:rPr>
          <w:rFonts w:hint="eastAsia"/>
          <w:color w:val="auto"/>
          <w:sz w:val="24"/>
          <w:highlight w:val="none"/>
        </w:rPr>
      </w:pPr>
      <w:r>
        <w:rPr>
          <w:rFonts w:hint="eastAsia" w:ascii="宋体" w:hAnsi="宋体" w:cs="宋体"/>
          <w:kern w:val="0"/>
          <w:sz w:val="24"/>
          <w:lang w:val="en-US" w:eastAsia="zh-CN"/>
        </w:rPr>
        <w:t xml:space="preserve"> </w:t>
      </w:r>
      <w:r>
        <w:rPr>
          <w:rFonts w:hint="eastAsia"/>
          <w:color w:val="auto"/>
          <w:sz w:val="24"/>
          <w:highlight w:val="none"/>
          <w:lang w:eastAsia="zh-CN"/>
        </w:rPr>
        <w:t>2026年</w:t>
      </w:r>
      <w:r>
        <w:rPr>
          <w:rFonts w:hint="eastAsia"/>
          <w:color w:val="auto"/>
          <w:sz w:val="24"/>
          <w:highlight w:val="none"/>
          <w:lang w:val="en-US" w:eastAsia="zh-CN"/>
        </w:rPr>
        <w:t>7</w:t>
      </w:r>
      <w:r>
        <w:rPr>
          <w:rFonts w:hint="eastAsia"/>
          <w:color w:val="auto"/>
          <w:sz w:val="24"/>
          <w:highlight w:val="none"/>
        </w:rPr>
        <w:t>月</w:t>
      </w:r>
      <w:r>
        <w:rPr>
          <w:rFonts w:hint="eastAsia"/>
          <w:color w:val="auto"/>
          <w:sz w:val="24"/>
          <w:highlight w:val="none"/>
          <w:lang w:val="en-US" w:eastAsia="zh-CN"/>
        </w:rPr>
        <w:t>23</w:t>
      </w:r>
      <w:r>
        <w:rPr>
          <w:rFonts w:hint="eastAsia"/>
          <w:color w:val="auto"/>
          <w:sz w:val="24"/>
          <w:highlight w:val="none"/>
        </w:rPr>
        <w:t>日</w:t>
      </w:r>
    </w:p>
    <w:p w14:paraId="7539F407">
      <w:pPr>
        <w:rPr>
          <w:rFonts w:cs="Calibri"/>
          <w:szCs w:val="21"/>
        </w:rPr>
      </w:pPr>
      <w:r>
        <w:rPr>
          <w:rFonts w:cs="Calibri"/>
          <w:szCs w:val="21"/>
          <w:lang w:bidi="ar"/>
        </w:rPr>
        <w:t xml:space="preserve"> </w:t>
      </w:r>
    </w:p>
    <w:p w14:paraId="7D45E303">
      <w:r>
        <w:rPr>
          <w:rFonts w:hint="eastAsia" w:ascii="Times New Roman" w:hAnsi="Times New Roman"/>
          <w:b/>
          <w:bCs/>
          <w:sz w:val="44"/>
          <w:szCs w:val="44"/>
        </w:rPr>
        <w:br w:type="page"/>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EC21CD"/>
    <w:rsid w:val="6EEC21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character" w:styleId="4">
    <w:name w:val="Hyperlink"/>
    <w:unhideWhenUsed/>
    <w:uiPriority w:val="99"/>
    <w:rPr>
      <w:color w:val="0563C1"/>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2026-07-23T02:05:00Z</dcterms:created>
  <dc:creator>WPS_1609124823</dc:creator>
  <cp:lastModifiedBy>WPS_1609124823</cp:lastModifiedBy>
  <dcterms:modified xsi:type="dcterms:W3CDTF">2026-07-23T02:06:49Z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7F5FEBBDDDB34CC9AE67D0396708B810_11</vt:lpwstr>
  </property>
  <property fmtid="{D5CDD505-2E9C-101B-9397-08002B2CF9AE}" pid="4" name="KSOTemplateDocerSaveRecord">
    <vt:lpwstr>eyJoZGlkIjoiYjBhNjMyODEyNDdlMWQ2YWQ3YjE5YTFjNmFhYWM5ZmMiLCJ1c2VySWQiOiIxMTU1MTE2NDM4In0=</vt:lpwstr>
  </property>
</Properties>
</file>